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1A3973">
      <w:pPr>
        <w:tabs>
          <w:tab w:val="left" w:pos="1843"/>
        </w:tabs>
        <w:spacing w:after="0" w:line="360" w:lineRule="auto"/>
        <w:jc w:val="both"/>
        <w:rPr>
          <w:rFonts w:ascii="Palatino Linotype" w:hAnsi="Palatino Linotype" w:cs="Tahoma"/>
          <w:b/>
          <w:caps/>
        </w:rPr>
      </w:pPr>
      <w:r w:rsidRPr="00C56B73">
        <w:rPr>
          <w:rFonts w:ascii="Palatino Linotype" w:hAnsi="Palatino Linotype" w:cs="Tahoma"/>
          <w:b/>
        </w:rPr>
        <w:t xml:space="preserve">VOTO PARTICULAR QUE FORMULA EL COMISIONADO LUIS GUSTAVO PARRA NORIEGA, </w:t>
      </w:r>
      <w:r w:rsidR="007A3584" w:rsidRPr="00C56B73">
        <w:rPr>
          <w:rFonts w:ascii="Palatino Linotype" w:hAnsi="Palatino Linotype" w:cs="Tahoma"/>
          <w:b/>
        </w:rPr>
        <w:t>A</w:t>
      </w:r>
      <w:r w:rsidRPr="00C56B73">
        <w:rPr>
          <w:rFonts w:ascii="Palatino Linotype" w:hAnsi="Palatino Linotype" w:cs="Tahoma"/>
          <w:b/>
        </w:rPr>
        <w:t xml:space="preserve"> LA RESOLUCIÓN DEL RECURSO DE REVISIÓN </w:t>
      </w:r>
      <w:r w:rsidR="001A3973" w:rsidRPr="00C56B73">
        <w:rPr>
          <w:rFonts w:ascii="Palatino Linotype" w:hAnsi="Palatino Linotype" w:cs="Tahoma"/>
          <w:b/>
        </w:rPr>
        <w:t>0</w:t>
      </w:r>
      <w:r w:rsidR="007A3584" w:rsidRPr="00C56B73">
        <w:rPr>
          <w:rFonts w:ascii="Palatino Linotype" w:hAnsi="Palatino Linotype" w:cs="Tahoma"/>
          <w:b/>
        </w:rPr>
        <w:t>4</w:t>
      </w:r>
      <w:r w:rsidR="00B3544C">
        <w:rPr>
          <w:rFonts w:ascii="Palatino Linotype" w:hAnsi="Palatino Linotype" w:cs="Tahoma"/>
          <w:b/>
        </w:rPr>
        <w:t>423</w:t>
      </w:r>
      <w:r w:rsidR="00DE4452" w:rsidRPr="00C56B73">
        <w:rPr>
          <w:rFonts w:ascii="Palatino Linotype" w:hAnsi="Palatino Linotype" w:cs="Tahoma"/>
          <w:b/>
        </w:rPr>
        <w:t>/INFOEM/IP/RR/</w:t>
      </w:r>
      <w:r w:rsidR="00592A1B" w:rsidRPr="00C56B73">
        <w:rPr>
          <w:rFonts w:ascii="Palatino Linotype" w:hAnsi="Palatino Linotype" w:cs="Tahoma"/>
          <w:b/>
        </w:rPr>
        <w:t>2018</w:t>
      </w:r>
      <w:r w:rsidRPr="00C56B73">
        <w:rPr>
          <w:rFonts w:ascii="Palatino Linotype" w:hAnsi="Palatino Linotype" w:cs="Tahoma"/>
          <w:b/>
          <w:caps/>
        </w:rPr>
        <w:t>,</w:t>
      </w:r>
      <w:r w:rsidRPr="00C56B73">
        <w:rPr>
          <w:rFonts w:ascii="Palatino Linotype" w:hAnsi="Palatino Linotype" w:cs="Tahoma"/>
          <w:b/>
        </w:rPr>
        <w:t xml:space="preserve"> PROMOVIDO EN </w:t>
      </w:r>
      <w:r w:rsidR="00592A1B" w:rsidRPr="00C56B73">
        <w:rPr>
          <w:rFonts w:ascii="Palatino Linotype" w:hAnsi="Palatino Linotype" w:cs="Tahoma"/>
          <w:b/>
        </w:rPr>
        <w:t xml:space="preserve">CONTRA </w:t>
      </w:r>
      <w:r w:rsidR="00592A1B" w:rsidRPr="00C56B73">
        <w:rPr>
          <w:rFonts w:ascii="Palatino Linotype" w:hAnsi="Palatino Linotype" w:cs="Tahoma"/>
          <w:b/>
          <w:caps/>
        </w:rPr>
        <w:t>de</w:t>
      </w:r>
      <w:r w:rsidR="007A3584" w:rsidRPr="00C56B73">
        <w:rPr>
          <w:rFonts w:ascii="Palatino Linotype" w:hAnsi="Palatino Linotype" w:cs="Tahoma"/>
          <w:b/>
          <w:caps/>
        </w:rPr>
        <w:t xml:space="preserve"> </w:t>
      </w:r>
      <w:r w:rsidR="00592A1B" w:rsidRPr="00C56B73">
        <w:rPr>
          <w:rFonts w:ascii="Palatino Linotype" w:hAnsi="Palatino Linotype" w:cs="Tahoma"/>
          <w:b/>
          <w:caps/>
        </w:rPr>
        <w:t>l</w:t>
      </w:r>
      <w:r w:rsidR="007A3584" w:rsidRPr="00C56B73">
        <w:rPr>
          <w:rFonts w:ascii="Palatino Linotype" w:hAnsi="Palatino Linotype" w:cs="Tahoma"/>
          <w:b/>
          <w:caps/>
        </w:rPr>
        <w:t>A</w:t>
      </w:r>
      <w:r w:rsidR="00592A1B" w:rsidRPr="00C56B73">
        <w:rPr>
          <w:rFonts w:ascii="Palatino Linotype" w:hAnsi="Palatino Linotype" w:cs="Tahoma"/>
          <w:b/>
          <w:caps/>
        </w:rPr>
        <w:t xml:space="preserve"> </w:t>
      </w:r>
      <w:r w:rsidR="00B3544C">
        <w:rPr>
          <w:rFonts w:ascii="Palatino Linotype" w:hAnsi="Palatino Linotype" w:cs="Tahoma"/>
          <w:b/>
          <w:caps/>
        </w:rPr>
        <w:t>UNIVERSIDAD POLITÉCNICA DEL VALLE DE TOLUCA</w:t>
      </w:r>
      <w:r w:rsidR="001A3973" w:rsidRPr="00C56B73">
        <w:rPr>
          <w:rFonts w:ascii="Palatino Linotype" w:hAnsi="Palatino Linotype" w:cs="Tahoma"/>
          <w:b/>
          <w:caps/>
        </w:rPr>
        <w:t>.</w:t>
      </w:r>
    </w:p>
    <w:p w:rsidR="001A3973" w:rsidRPr="003424F7" w:rsidRDefault="001A3973" w:rsidP="001A3973">
      <w:pPr>
        <w:tabs>
          <w:tab w:val="left" w:pos="1843"/>
        </w:tabs>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w:t>
      </w:r>
      <w:r w:rsidRPr="00C56B73">
        <w:rPr>
          <w:rFonts w:ascii="Palatino Linotype" w:hAnsi="Palatino Linotype" w:cs="Tahoma"/>
        </w:rPr>
        <w:t xml:space="preserve">México y Municipios, emito el presente </w:t>
      </w:r>
      <w:r w:rsidRPr="00C56B73">
        <w:rPr>
          <w:rFonts w:ascii="Palatino Linotype" w:hAnsi="Palatino Linotype" w:cs="Tahoma"/>
          <w:b/>
        </w:rPr>
        <w:t>Voto Particular</w:t>
      </w:r>
      <w:r w:rsidRPr="00C56B73">
        <w:rPr>
          <w:rFonts w:ascii="Palatino Linotype" w:hAnsi="Palatino Linotype" w:cs="Tahoma"/>
        </w:rPr>
        <w:t xml:space="preserve"> por no compartir en su totalidad las consideraciones que sustentan la Resolución del Recurso de Revisión </w:t>
      </w:r>
      <w:r w:rsidR="00A742D1" w:rsidRPr="00C56B73">
        <w:rPr>
          <w:rFonts w:ascii="Palatino Linotype" w:hAnsi="Palatino Linotype" w:cs="Tahoma"/>
        </w:rPr>
        <w:t>0</w:t>
      </w:r>
      <w:r w:rsidR="00C56B73" w:rsidRPr="00C56B73">
        <w:rPr>
          <w:rFonts w:ascii="Palatino Linotype" w:hAnsi="Palatino Linotype" w:cs="Tahoma"/>
        </w:rPr>
        <w:t>4</w:t>
      </w:r>
      <w:r w:rsidR="00A50FCB">
        <w:rPr>
          <w:rFonts w:ascii="Palatino Linotype" w:hAnsi="Palatino Linotype" w:cs="Tahoma"/>
        </w:rPr>
        <w:t>423</w:t>
      </w:r>
      <w:r w:rsidR="00A742D1" w:rsidRPr="00C56B73">
        <w:rPr>
          <w:rFonts w:ascii="Palatino Linotype" w:hAnsi="Palatino Linotype" w:cs="Tahoma"/>
        </w:rPr>
        <w:t>/INFOEM/IP/RR/</w:t>
      </w:r>
      <w:r w:rsidR="00104333" w:rsidRPr="00C56B73">
        <w:rPr>
          <w:rFonts w:ascii="Palatino Linotype" w:hAnsi="Palatino Linotype" w:cs="Tahoma"/>
        </w:rPr>
        <w:t>2018</w:t>
      </w:r>
      <w:r w:rsidR="001A3973" w:rsidRPr="00C56B73">
        <w:rPr>
          <w:rFonts w:ascii="Palatino Linotype" w:hAnsi="Palatino Linotype" w:cs="Tahoma"/>
        </w:rPr>
        <w:t>.</w:t>
      </w:r>
      <w:r w:rsidR="001A3973">
        <w:rPr>
          <w:rFonts w:ascii="Palatino Linotype" w:hAnsi="Palatino Linotype" w:cs="Tahoma"/>
        </w:rPr>
        <w:t xml:space="preserve"> </w:t>
      </w:r>
    </w:p>
    <w:p w:rsidR="009E0861" w:rsidRPr="003424F7" w:rsidRDefault="009E0861" w:rsidP="00D62C09">
      <w:pPr>
        <w:spacing w:after="0" w:line="360" w:lineRule="auto"/>
        <w:jc w:val="both"/>
        <w:rPr>
          <w:rFonts w:ascii="Palatino Linotype" w:hAnsi="Palatino Linotype" w:cs="Tahoma"/>
        </w:rPr>
      </w:pPr>
    </w:p>
    <w:p w:rsidR="007A3584" w:rsidRDefault="00EA7E26" w:rsidP="000C7FD1">
      <w:pPr>
        <w:spacing w:after="0" w:line="360"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xml:space="preserve">, </w:t>
      </w:r>
      <w:r w:rsidR="00C56B73">
        <w:rPr>
          <w:rFonts w:ascii="Palatino Linotype" w:hAnsi="Palatino Linotype" w:cs="Tahoma"/>
        </w:rPr>
        <w:t>el</w:t>
      </w:r>
      <w:r w:rsidR="00627F2B" w:rsidRPr="003424F7">
        <w:rPr>
          <w:rFonts w:ascii="Palatino Linotype" w:hAnsi="Palatino Linotype" w:cs="Tahoma"/>
        </w:rPr>
        <w:t xml:space="preserve"> entonces solicitante requirió</w:t>
      </w:r>
      <w:r w:rsidR="00C56B73">
        <w:rPr>
          <w:rFonts w:ascii="Palatino Linotype" w:hAnsi="Palatino Linotype" w:cs="Tahoma"/>
        </w:rPr>
        <w:t xml:space="preserve">: </w:t>
      </w:r>
    </w:p>
    <w:p w:rsidR="00C56B73" w:rsidRPr="00CC10B4" w:rsidRDefault="00C56B73" w:rsidP="000C7FD1">
      <w:pPr>
        <w:spacing w:after="0" w:line="360" w:lineRule="auto"/>
        <w:jc w:val="both"/>
        <w:rPr>
          <w:rFonts w:ascii="Palatino Linotype" w:hAnsi="Palatino Linotype" w:cs="Tahoma"/>
          <w:sz w:val="10"/>
          <w:szCs w:val="10"/>
        </w:rPr>
      </w:pPr>
    </w:p>
    <w:p w:rsidR="007A3584" w:rsidRPr="00C56B73" w:rsidRDefault="004D34BA" w:rsidP="00C56B73">
      <w:pPr>
        <w:spacing w:after="0" w:line="360" w:lineRule="auto"/>
        <w:ind w:left="567" w:right="567"/>
        <w:jc w:val="both"/>
        <w:rPr>
          <w:rFonts w:ascii="Palatino Linotype" w:hAnsi="Palatino Linotype" w:cs="Tahoma"/>
          <w:sz w:val="20"/>
          <w:szCs w:val="20"/>
        </w:rPr>
      </w:pPr>
      <w:r w:rsidRPr="004D34BA">
        <w:rPr>
          <w:rFonts w:ascii="Palatino Linotype" w:hAnsi="Palatino Linotype" w:cs="Tahoma"/>
          <w:sz w:val="20"/>
          <w:szCs w:val="20"/>
        </w:rPr>
        <w:t>“Referente a la Respuesta 1221 de fecha 15 de octubre de 2018, indicar porque Diana Palacios, firma como Maestra sin tener Cedula Profesional de Maestría ya que se requirió y el grado máximo de estudio</w:t>
      </w:r>
      <w:r>
        <w:rPr>
          <w:rFonts w:ascii="Palatino Linotype" w:hAnsi="Palatino Linotype" w:cs="Tahoma"/>
          <w:sz w:val="20"/>
          <w:szCs w:val="20"/>
        </w:rPr>
        <w:t xml:space="preserve">s informado es Ingeniería” </w:t>
      </w:r>
      <w:r w:rsidR="007A3584" w:rsidRPr="00C56B73">
        <w:rPr>
          <w:rFonts w:ascii="Palatino Linotype" w:hAnsi="Palatino Linotype" w:cs="Tahoma"/>
          <w:sz w:val="20"/>
          <w:szCs w:val="20"/>
        </w:rPr>
        <w:t>(</w:t>
      </w:r>
      <w:r w:rsidR="007A3584" w:rsidRPr="003C6BE9">
        <w:rPr>
          <w:rFonts w:ascii="Palatino Linotype" w:hAnsi="Palatino Linotype" w:cs="Tahoma"/>
          <w:i/>
          <w:sz w:val="20"/>
          <w:szCs w:val="20"/>
        </w:rPr>
        <w:t>Sic</w:t>
      </w:r>
      <w:r w:rsidR="003C6BE9" w:rsidRPr="003C6BE9">
        <w:rPr>
          <w:rFonts w:ascii="Palatino Linotype" w:hAnsi="Palatino Linotype" w:cs="Tahoma"/>
          <w:i/>
          <w:sz w:val="20"/>
          <w:szCs w:val="20"/>
        </w:rPr>
        <w:t>.</w:t>
      </w:r>
      <w:r w:rsidR="007A3584" w:rsidRPr="00C56B73">
        <w:rPr>
          <w:rFonts w:ascii="Palatino Linotype" w:hAnsi="Palatino Linotype" w:cs="Tahoma"/>
          <w:sz w:val="20"/>
          <w:szCs w:val="20"/>
        </w:rPr>
        <w:t>)</w:t>
      </w:r>
    </w:p>
    <w:p w:rsidR="001A3973" w:rsidRPr="00C56B73" w:rsidRDefault="001A3973" w:rsidP="00C56B73">
      <w:pPr>
        <w:spacing w:after="0" w:line="360" w:lineRule="auto"/>
        <w:ind w:right="616"/>
        <w:jc w:val="both"/>
        <w:rPr>
          <w:rFonts w:ascii="Palatino Linotype" w:eastAsia="Arial Unicode MS" w:hAnsi="Palatino Linotype" w:cs="Tahoma"/>
          <w:i/>
        </w:rPr>
      </w:pPr>
    </w:p>
    <w:p w:rsidR="00524F01" w:rsidRDefault="00C56B73" w:rsidP="00D62C09">
      <w:pPr>
        <w:spacing w:after="0" w:line="360" w:lineRule="auto"/>
        <w:jc w:val="both"/>
        <w:rPr>
          <w:rFonts w:ascii="Palatino Linotype" w:eastAsia="Arial Unicode MS" w:hAnsi="Palatino Linotype" w:cs="Tahoma"/>
        </w:rPr>
      </w:pPr>
      <w:r w:rsidRPr="00C56B73">
        <w:rPr>
          <w:rFonts w:ascii="Palatino Linotype" w:eastAsia="Arial Unicode MS" w:hAnsi="Palatino Linotype" w:cs="Tahoma"/>
        </w:rPr>
        <w:t>A</w:t>
      </w:r>
      <w:r>
        <w:rPr>
          <w:rFonts w:ascii="Palatino Linotype" w:eastAsia="Arial Unicode MS" w:hAnsi="Palatino Linotype" w:cs="Tahoma"/>
        </w:rPr>
        <w:t>nte l</w:t>
      </w:r>
      <w:r w:rsidR="00524F01">
        <w:rPr>
          <w:rFonts w:ascii="Palatino Linotype" w:eastAsia="Arial Unicode MS" w:hAnsi="Palatino Linotype" w:cs="Tahoma"/>
        </w:rPr>
        <w:t>a respuesta del Sujeto Obligado, en el sentido de que “</w:t>
      </w:r>
      <w:r w:rsidR="00524F01" w:rsidRPr="00524F01">
        <w:rPr>
          <w:rFonts w:ascii="Palatino Linotype" w:eastAsia="Arial Unicode MS" w:hAnsi="Palatino Linotype" w:cs="Tahoma"/>
          <w:i/>
        </w:rPr>
        <w:t>cualquier persona que tenga el grado académico y que cuente con el Título correspondiente puede ostentar dicho grado, tal como establece el artículo 1 de la Reglamentaria del Artículo 5to Constitucional.</w:t>
      </w:r>
      <w:r w:rsidR="00524F01">
        <w:rPr>
          <w:rFonts w:ascii="Palatino Linotype" w:eastAsia="Arial Unicode MS" w:hAnsi="Palatino Linotype" w:cs="Tahoma"/>
          <w:i/>
        </w:rPr>
        <w:t>”</w:t>
      </w:r>
      <w:r w:rsidR="00524F01">
        <w:rPr>
          <w:rFonts w:ascii="Palatino Linotype" w:eastAsia="Arial Unicode MS" w:hAnsi="Palatino Linotype" w:cs="Tahoma"/>
        </w:rPr>
        <w:t xml:space="preserve"> el Particular se inconformó por la entrega de información incompleta, bajo el argumento</w:t>
      </w:r>
      <w:r w:rsidR="003C6BE9">
        <w:rPr>
          <w:rFonts w:ascii="Palatino Linotype" w:eastAsia="Arial Unicode MS" w:hAnsi="Palatino Linotype" w:cs="Tahoma"/>
        </w:rPr>
        <w:t xml:space="preserve"> siguiente</w:t>
      </w:r>
      <w:r w:rsidR="00524F01">
        <w:rPr>
          <w:rFonts w:ascii="Palatino Linotype" w:eastAsia="Arial Unicode MS" w:hAnsi="Palatino Linotype" w:cs="Tahoma"/>
        </w:rPr>
        <w:t>:</w:t>
      </w:r>
    </w:p>
    <w:p w:rsidR="00524F01" w:rsidRDefault="00524F01" w:rsidP="00D62C09">
      <w:pPr>
        <w:spacing w:after="0" w:line="360" w:lineRule="auto"/>
        <w:jc w:val="both"/>
        <w:rPr>
          <w:rFonts w:ascii="Palatino Linotype" w:eastAsia="Arial Unicode MS" w:hAnsi="Palatino Linotype" w:cs="Tahoma"/>
        </w:rPr>
      </w:pPr>
    </w:p>
    <w:p w:rsidR="00524F01" w:rsidRPr="00524F01" w:rsidRDefault="00524F01" w:rsidP="00524F01">
      <w:pPr>
        <w:spacing w:after="0" w:line="360" w:lineRule="auto"/>
        <w:ind w:left="567" w:right="567"/>
        <w:jc w:val="both"/>
        <w:rPr>
          <w:rFonts w:ascii="Palatino Linotype" w:eastAsia="Arial Unicode MS" w:hAnsi="Palatino Linotype" w:cs="Tahoma"/>
          <w:sz w:val="20"/>
          <w:szCs w:val="20"/>
        </w:rPr>
      </w:pPr>
      <w:r w:rsidRPr="00524F01">
        <w:rPr>
          <w:rFonts w:ascii="Palatino Linotype" w:eastAsia="Arial Unicode MS" w:hAnsi="Palatino Linotype" w:cs="Tahoma"/>
          <w:sz w:val="20"/>
          <w:szCs w:val="20"/>
        </w:rPr>
        <w:lastRenderedPageBreak/>
        <w:t>“No se da respuesta a la solicitud Listado de profesiones de acuerdo al Artículo 5 a nivel Licenciatura: Actuario Arquitecto Bacteriólogo Biólogo Cirujano dentista Contador Corredor Enfermera Enfermera y pa</w:t>
      </w:r>
      <w:bookmarkStart w:id="0" w:name="_GoBack"/>
      <w:r w:rsidRPr="00524F01">
        <w:rPr>
          <w:rFonts w:ascii="Palatino Linotype" w:eastAsia="Arial Unicode MS" w:hAnsi="Palatino Linotype" w:cs="Tahoma"/>
          <w:sz w:val="20"/>
          <w:szCs w:val="20"/>
        </w:rPr>
        <w:t>r</w:t>
      </w:r>
      <w:bookmarkEnd w:id="0"/>
      <w:r w:rsidRPr="00524F01">
        <w:rPr>
          <w:rFonts w:ascii="Palatino Linotype" w:eastAsia="Arial Unicode MS" w:hAnsi="Palatino Linotype" w:cs="Tahoma"/>
          <w:sz w:val="20"/>
          <w:szCs w:val="20"/>
        </w:rPr>
        <w:t>tera Ingeniero Licenciado en Derecho Licenciado en Economía Marino Médico. Médico Veterinario. Metalúrgico. Notario. Piloto aviador. Profesor de educación preescolar. Profesor de educación primaria. Profesor de Educación secundaria. Químico. Trabajador social. A perdón Manzano, tu tampoco tiene Cédula de Maestra” (</w:t>
      </w:r>
      <w:r w:rsidRPr="00524F01">
        <w:rPr>
          <w:rFonts w:ascii="Palatino Linotype" w:eastAsia="Arial Unicode MS" w:hAnsi="Palatino Linotype" w:cs="Tahoma"/>
          <w:i/>
          <w:sz w:val="20"/>
          <w:szCs w:val="20"/>
        </w:rPr>
        <w:t>Sic.</w:t>
      </w:r>
      <w:r w:rsidRPr="00524F01">
        <w:rPr>
          <w:rFonts w:ascii="Palatino Linotype" w:eastAsia="Arial Unicode MS" w:hAnsi="Palatino Linotype" w:cs="Tahoma"/>
          <w:sz w:val="20"/>
          <w:szCs w:val="20"/>
        </w:rPr>
        <w:t>)</w:t>
      </w:r>
    </w:p>
    <w:p w:rsidR="00524F01" w:rsidRDefault="00524F01" w:rsidP="00D62C09">
      <w:pPr>
        <w:spacing w:after="0" w:line="360" w:lineRule="auto"/>
        <w:jc w:val="both"/>
        <w:rPr>
          <w:rFonts w:ascii="Palatino Linotype" w:eastAsia="Arial Unicode MS" w:hAnsi="Palatino Linotype" w:cs="Tahoma"/>
        </w:rPr>
      </w:pPr>
    </w:p>
    <w:p w:rsidR="00D63D3F" w:rsidRDefault="003C6BE9"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Como desprende de los antecedentes y justo como la Ponencia Resolutora lo hizo valer, el contenido del escrito de solicitud del Recurrente, no constituye una solicitud de acceso a la información pública, en el marco del artículo 6° de la Constitución Política de los Estados Unidos Mexicanos; 5° de la Constitución Política del Estado Libre y Soberano de México; la Ley General de Transparencia y Acceso a la Información Pública y la Ley de Transparencia y Acceso a la Información Pública del Estado de México y Municipios</w:t>
      </w:r>
      <w:r w:rsidR="0005108C">
        <w:rPr>
          <w:rFonts w:ascii="Palatino Linotype" w:eastAsia="Arial Unicode MS" w:hAnsi="Palatino Linotype" w:cs="Tahoma"/>
        </w:rPr>
        <w:t>, ya que se centra en solicitar una explicación de la respuesta dada al Particular en una solicitud de acceso a la información presentada en otro momento.</w:t>
      </w:r>
      <w:r w:rsidR="00B544EB">
        <w:rPr>
          <w:rFonts w:ascii="Palatino Linotype" w:eastAsia="Arial Unicode MS" w:hAnsi="Palatino Linotype" w:cs="Tahoma"/>
        </w:rPr>
        <w:t xml:space="preserve"> </w:t>
      </w:r>
      <w:r w:rsidR="00D63D3F">
        <w:rPr>
          <w:rFonts w:ascii="Palatino Linotype" w:eastAsia="Arial Unicode MS" w:hAnsi="Palatino Linotype" w:cs="Tahoma"/>
        </w:rPr>
        <w:t>Asimismo, se advierte que como razones o motivos de inconformidad, el Recurrente desea se le entregue información que no solicitó originalmente.</w:t>
      </w:r>
    </w:p>
    <w:p w:rsidR="003C6BE9" w:rsidRDefault="003C6BE9" w:rsidP="00D62C09">
      <w:pPr>
        <w:spacing w:after="0" w:line="360" w:lineRule="auto"/>
        <w:jc w:val="both"/>
        <w:rPr>
          <w:rFonts w:ascii="Palatino Linotype" w:eastAsia="Arial Unicode MS" w:hAnsi="Palatino Linotype" w:cs="Tahoma"/>
        </w:rPr>
      </w:pPr>
    </w:p>
    <w:p w:rsidR="003C6BE9" w:rsidRDefault="003C6BE9"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Bajo este orden de ideas, la Resolución que nos ocupa, se centra en exponer, fundar y motivar que la solicitud presentada por el Particular constituye una consulta y no </w:t>
      </w:r>
      <w:r w:rsidR="00165D9E">
        <w:rPr>
          <w:rFonts w:ascii="Palatino Linotype" w:eastAsia="Arial Unicode MS" w:hAnsi="Palatino Linotype" w:cs="Tahoma"/>
        </w:rPr>
        <w:t>un</w:t>
      </w:r>
      <w:r>
        <w:rPr>
          <w:rFonts w:ascii="Palatino Linotype" w:eastAsia="Arial Unicode MS" w:hAnsi="Palatino Linotype" w:cs="Tahoma"/>
        </w:rPr>
        <w:t xml:space="preserve">a solicitud de acceso a un documento que el Sujeto Obligado genere, </w:t>
      </w:r>
      <w:r w:rsidR="002C456D">
        <w:rPr>
          <w:rFonts w:ascii="Palatino Linotype" w:eastAsia="Arial Unicode MS" w:hAnsi="Palatino Linotype" w:cs="Tahoma"/>
        </w:rPr>
        <w:t>obtenga, adquiera, transforme, administre o posea, de acuerdo a lo establecido en el artículo 4°, párrafo segundo de la Ley de Transparencia y Acceso a la Información Pública del Estado de México y Municipios.</w:t>
      </w:r>
    </w:p>
    <w:p w:rsidR="002C456D" w:rsidRDefault="002C456D" w:rsidP="00D62C09">
      <w:pPr>
        <w:spacing w:after="0" w:line="360" w:lineRule="auto"/>
        <w:jc w:val="both"/>
        <w:rPr>
          <w:rFonts w:ascii="Palatino Linotype" w:eastAsia="Arial Unicode MS" w:hAnsi="Palatino Linotype" w:cs="Tahoma"/>
        </w:rPr>
      </w:pPr>
    </w:p>
    <w:p w:rsidR="002C456D" w:rsidRPr="002C456D" w:rsidRDefault="002C456D" w:rsidP="002C456D">
      <w:pPr>
        <w:spacing w:after="0" w:line="360" w:lineRule="auto"/>
        <w:jc w:val="both"/>
        <w:rPr>
          <w:rFonts w:ascii="Palatino Linotype" w:eastAsia="Arial Unicode MS" w:hAnsi="Palatino Linotype" w:cs="Tahoma"/>
          <w:i/>
        </w:rPr>
      </w:pPr>
      <w:r>
        <w:rPr>
          <w:rFonts w:ascii="Palatino Linotype" w:eastAsia="Arial Unicode MS" w:hAnsi="Palatino Linotype" w:cs="Tahoma"/>
        </w:rPr>
        <w:lastRenderedPageBreak/>
        <w:t>Para reforzar lo anterior,</w:t>
      </w:r>
      <w:r w:rsidR="00165D9E">
        <w:rPr>
          <w:rFonts w:ascii="Palatino Linotype" w:eastAsia="Arial Unicode MS" w:hAnsi="Palatino Linotype" w:cs="Tahoma"/>
        </w:rPr>
        <w:t xml:space="preserve"> la Ponencia Resolutora respaldó</w:t>
      </w:r>
      <w:r>
        <w:rPr>
          <w:rFonts w:ascii="Palatino Linotype" w:eastAsia="Arial Unicode MS" w:hAnsi="Palatino Linotype" w:cs="Tahoma"/>
        </w:rPr>
        <w:t xml:space="preserve"> su análisis con </w:t>
      </w:r>
      <w:r w:rsidRPr="002C456D">
        <w:rPr>
          <w:rFonts w:ascii="Palatino Linotype" w:eastAsia="Arial Unicode MS" w:hAnsi="Palatino Linotype" w:cs="Tahoma"/>
          <w:i/>
        </w:rPr>
        <w:t>el C</w:t>
      </w:r>
      <w:r w:rsidRPr="002C456D">
        <w:rPr>
          <w:rFonts w:ascii="Palatino Linotype" w:eastAsia="Arial Unicode MS" w:hAnsi="Palatino Linotype" w:cs="Tahoma"/>
          <w:i/>
        </w:rPr>
        <w:t>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C456D" w:rsidRPr="002C456D" w:rsidRDefault="002C456D" w:rsidP="002C456D">
      <w:pPr>
        <w:spacing w:after="0" w:line="360" w:lineRule="auto"/>
        <w:jc w:val="both"/>
        <w:rPr>
          <w:rFonts w:ascii="Palatino Linotype" w:eastAsia="Arial Unicode MS" w:hAnsi="Palatino Linotype" w:cs="Tahoma"/>
          <w:i/>
        </w:rPr>
      </w:pP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“CRITERIO 0002-11</w:t>
      </w: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En consecuencia el acceso a la información se refiere a que se cumplan cualquiera de los siguientes tres supuestos:</w:t>
      </w: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Que se trate de información registrada en cualquier soporte documental, que en ejercicio de las atribuciones conferidas, sea generada por los Sujetos Obligados;</w:t>
      </w: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Que se trate de información registrada en cualquier soporte documental, que en ejercicio de las atribuciones conferidas, sea administrada por los Sujetos Obligados, y</w:t>
      </w:r>
    </w:p>
    <w:p w:rsidR="002C456D" w:rsidRPr="002C456D" w:rsidRDefault="002C456D" w:rsidP="002C456D">
      <w:pPr>
        <w:spacing w:after="0" w:line="360" w:lineRule="auto"/>
        <w:ind w:left="567" w:right="567"/>
        <w:jc w:val="both"/>
        <w:rPr>
          <w:rFonts w:ascii="Palatino Linotype" w:eastAsia="Arial Unicode MS" w:hAnsi="Palatino Linotype" w:cs="Tahoma"/>
          <w:i/>
          <w:sz w:val="20"/>
          <w:szCs w:val="20"/>
        </w:rPr>
      </w:pPr>
      <w:r w:rsidRPr="002C456D">
        <w:rPr>
          <w:rFonts w:ascii="Palatino Linotype" w:eastAsia="Arial Unicode MS" w:hAnsi="Palatino Linotype" w:cs="Tahoma"/>
          <w:i/>
          <w:sz w:val="20"/>
          <w:szCs w:val="20"/>
        </w:rPr>
        <w:t>Que se trate de información registrada en cualquier soporte documental, que en ejercicio de las atribuciones conferidas, se encuentre en posesión de los Sujetos Obligados.”</w:t>
      </w:r>
    </w:p>
    <w:p w:rsidR="002C456D" w:rsidRDefault="002C456D" w:rsidP="00D62C09">
      <w:pPr>
        <w:spacing w:after="0" w:line="360" w:lineRule="auto"/>
        <w:jc w:val="both"/>
        <w:rPr>
          <w:rFonts w:ascii="Palatino Linotype" w:eastAsia="Arial Unicode MS" w:hAnsi="Palatino Linotype" w:cs="Tahoma"/>
        </w:rPr>
      </w:pPr>
    </w:p>
    <w:p w:rsidR="002C456D" w:rsidRDefault="0025688F"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En</w:t>
      </w:r>
      <w:r w:rsidR="00165D9E">
        <w:rPr>
          <w:rFonts w:ascii="Palatino Linotype" w:eastAsia="Arial Unicode MS" w:hAnsi="Palatino Linotype" w:cs="Tahoma"/>
        </w:rPr>
        <w:t xml:space="preserve"> este sentido se comparte que la solicitud del Recurrente constituye un derecho de petición, por lo que también</w:t>
      </w:r>
      <w:r w:rsidR="002C456D">
        <w:rPr>
          <w:rFonts w:ascii="Palatino Linotype" w:eastAsia="Arial Unicode MS" w:hAnsi="Palatino Linotype" w:cs="Tahoma"/>
        </w:rPr>
        <w:t xml:space="preserve"> conviene traer a colación el Criterio </w:t>
      </w:r>
      <w:r w:rsidR="00CD14AC">
        <w:rPr>
          <w:rFonts w:ascii="Palatino Linotype" w:eastAsia="Arial Unicode MS" w:hAnsi="Palatino Linotype" w:cs="Tahoma"/>
        </w:rPr>
        <w:t>3/17, del ahora denominado Instituto Nacional de Transparencia, Acceso a la Información y Protección de Datos Personales, el cual señala:</w:t>
      </w:r>
    </w:p>
    <w:p w:rsidR="002C456D" w:rsidRDefault="002C456D" w:rsidP="00D62C09">
      <w:pPr>
        <w:spacing w:after="0" w:line="360" w:lineRule="auto"/>
        <w:jc w:val="both"/>
        <w:rPr>
          <w:rFonts w:ascii="Palatino Linotype" w:eastAsia="Arial Unicode MS" w:hAnsi="Palatino Linotype" w:cs="Tahoma"/>
        </w:rPr>
      </w:pPr>
    </w:p>
    <w:p w:rsidR="002C456D" w:rsidRPr="00CD14AC" w:rsidRDefault="00CD14AC" w:rsidP="00CD14AC">
      <w:pPr>
        <w:spacing w:after="0" w:line="360" w:lineRule="auto"/>
        <w:ind w:left="567" w:right="567"/>
        <w:jc w:val="both"/>
        <w:rPr>
          <w:rFonts w:ascii="Palatino Linotype" w:eastAsia="Arial Unicode MS" w:hAnsi="Palatino Linotype" w:cs="Tahoma"/>
          <w:sz w:val="20"/>
          <w:szCs w:val="20"/>
        </w:rPr>
      </w:pPr>
      <w:r w:rsidRPr="00CD14AC">
        <w:rPr>
          <w:rFonts w:ascii="Palatino Linotype" w:eastAsia="Arial Unicode MS" w:hAnsi="Palatino Linotype" w:cs="Tahoma"/>
          <w:sz w:val="20"/>
          <w:szCs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D14AC" w:rsidRDefault="00CD14AC" w:rsidP="00D62C09">
      <w:pPr>
        <w:spacing w:after="0" w:line="360" w:lineRule="auto"/>
        <w:jc w:val="both"/>
        <w:rPr>
          <w:rFonts w:ascii="Palatino Linotype" w:hAnsi="Palatino Linotype" w:cs="Tahoma"/>
        </w:rPr>
      </w:pPr>
    </w:p>
    <w:p w:rsidR="00CD14AC" w:rsidRDefault="00390655" w:rsidP="00D62C09">
      <w:pPr>
        <w:spacing w:after="0" w:line="360" w:lineRule="auto"/>
        <w:jc w:val="both"/>
        <w:rPr>
          <w:rFonts w:ascii="Palatino Linotype" w:hAnsi="Palatino Linotype" w:cs="Tahoma"/>
          <w:i/>
        </w:rPr>
      </w:pPr>
      <w:r>
        <w:rPr>
          <w:rFonts w:ascii="Palatino Linotype" w:hAnsi="Palatino Linotype" w:cs="Tahoma"/>
        </w:rPr>
        <w:t xml:space="preserve">De acuerdo con lo expuesto, </w:t>
      </w:r>
      <w:r w:rsidR="00165D9E">
        <w:rPr>
          <w:rFonts w:ascii="Palatino Linotype" w:hAnsi="Palatino Linotype" w:cs="Tahoma"/>
        </w:rPr>
        <w:t xml:space="preserve">se reitera que se llegó a la misma </w:t>
      </w:r>
      <w:r>
        <w:rPr>
          <w:rFonts w:ascii="Palatino Linotype" w:hAnsi="Palatino Linotype" w:cs="Tahoma"/>
        </w:rPr>
        <w:t xml:space="preserve">conclusión que la Ponencia Resolutora en el sentido </w:t>
      </w:r>
      <w:r w:rsidR="004F7A10">
        <w:rPr>
          <w:rFonts w:ascii="Palatino Linotype" w:hAnsi="Palatino Linotype" w:cs="Tahoma"/>
        </w:rPr>
        <w:t xml:space="preserve">de que la solicitud no constituye el ejercicio del derecho de acceso a la información  pública, además, derivado del análisis completo y minucioso, también se </w:t>
      </w:r>
      <w:r w:rsidR="00165D9E">
        <w:rPr>
          <w:rFonts w:ascii="Palatino Linotype" w:hAnsi="Palatino Linotype" w:cs="Tahoma"/>
        </w:rPr>
        <w:t>aborda en la Resolución que</w:t>
      </w:r>
      <w:r w:rsidR="004F7A10">
        <w:rPr>
          <w:rFonts w:ascii="Palatino Linotype" w:hAnsi="Palatino Linotype" w:cs="Tahoma"/>
        </w:rPr>
        <w:t xml:space="preserve"> </w:t>
      </w:r>
      <w:r w:rsidR="00165D9E">
        <w:rPr>
          <w:rFonts w:ascii="Palatino Linotype" w:hAnsi="Palatino Linotype" w:cs="Tahoma"/>
        </w:rPr>
        <w:t xml:space="preserve">en </w:t>
      </w:r>
      <w:r w:rsidR="004F7A10">
        <w:rPr>
          <w:rFonts w:ascii="Palatino Linotype" w:hAnsi="Palatino Linotype" w:cs="Tahoma"/>
        </w:rPr>
        <w:t>el Recurso de Revisión</w:t>
      </w:r>
      <w:r w:rsidR="00165D9E">
        <w:rPr>
          <w:rFonts w:ascii="Palatino Linotype" w:hAnsi="Palatino Linotype" w:cs="Tahoma"/>
        </w:rPr>
        <w:t>,</w:t>
      </w:r>
      <w:r w:rsidR="004F7A10">
        <w:rPr>
          <w:rFonts w:ascii="Palatino Linotype" w:hAnsi="Palatino Linotype" w:cs="Tahoma"/>
        </w:rPr>
        <w:t xml:space="preserve"> el Particular solicitó información adicional, lo que constituye una </w:t>
      </w:r>
      <w:r w:rsidR="004F7A10">
        <w:rPr>
          <w:rFonts w:ascii="Palatino Linotype" w:hAnsi="Palatino Linotype" w:cs="Tahoma"/>
          <w:i/>
        </w:rPr>
        <w:t>plus petitio.</w:t>
      </w:r>
    </w:p>
    <w:p w:rsidR="004F7A10" w:rsidRDefault="004F7A10" w:rsidP="00D62C09">
      <w:pPr>
        <w:spacing w:after="0" w:line="360" w:lineRule="auto"/>
        <w:jc w:val="both"/>
        <w:rPr>
          <w:rFonts w:ascii="Palatino Linotype" w:hAnsi="Palatino Linotype" w:cs="Tahoma"/>
        </w:rPr>
      </w:pPr>
    </w:p>
    <w:p w:rsidR="004F7A10" w:rsidRDefault="004F7A10" w:rsidP="00D62C09">
      <w:pPr>
        <w:spacing w:after="0" w:line="360" w:lineRule="auto"/>
        <w:jc w:val="both"/>
        <w:rPr>
          <w:rFonts w:ascii="Palatino Linotype" w:hAnsi="Palatino Linotype" w:cs="Tahoma"/>
        </w:rPr>
      </w:pPr>
      <w:r>
        <w:rPr>
          <w:rFonts w:ascii="Palatino Linotype" w:hAnsi="Palatino Linotype" w:cs="Tahoma"/>
        </w:rPr>
        <w:t xml:space="preserve">De acuerdo con lo expuesto y en virtud de que la solicitud constituye una consulta y que el </w:t>
      </w:r>
      <w:r w:rsidR="00F90417">
        <w:rPr>
          <w:rFonts w:ascii="Palatino Linotype" w:hAnsi="Palatino Linotype" w:cs="Tahoma"/>
        </w:rPr>
        <w:t>R</w:t>
      </w:r>
      <w:r>
        <w:rPr>
          <w:rFonts w:ascii="Palatino Linotype" w:hAnsi="Palatino Linotype" w:cs="Tahoma"/>
        </w:rPr>
        <w:t xml:space="preserve">ecurso de </w:t>
      </w:r>
      <w:r w:rsidR="00F90417">
        <w:rPr>
          <w:rFonts w:ascii="Palatino Linotype" w:hAnsi="Palatino Linotype" w:cs="Tahoma"/>
        </w:rPr>
        <w:t>R</w:t>
      </w:r>
      <w:r>
        <w:rPr>
          <w:rFonts w:ascii="Palatino Linotype" w:hAnsi="Palatino Linotype" w:cs="Tahoma"/>
        </w:rPr>
        <w:t xml:space="preserve">evisión no es coincidente con la solicitud original, considero que </w:t>
      </w:r>
      <w:r w:rsidR="00F90417">
        <w:rPr>
          <w:rFonts w:ascii="Palatino Linotype" w:hAnsi="Palatino Linotype" w:cs="Tahoma"/>
        </w:rPr>
        <w:t xml:space="preserve">en el Resolutivo debió establecerse el </w:t>
      </w:r>
      <w:r w:rsidR="00F90417" w:rsidRPr="00F90417">
        <w:rPr>
          <w:rFonts w:ascii="Palatino Linotype" w:hAnsi="Palatino Linotype" w:cs="Tahoma"/>
          <w:b/>
        </w:rPr>
        <w:t>sobreseimiento del Recurso de Revisión por improcedente,</w:t>
      </w:r>
      <w:r w:rsidR="00F90417">
        <w:rPr>
          <w:rFonts w:ascii="Palatino Linotype" w:hAnsi="Palatino Linotype" w:cs="Tahoma"/>
        </w:rPr>
        <w:t xml:space="preserve"> tal como lo prevé el artículo 191, fracciones VI y VII, de la Ley de Transparencia y Acceso a la Información Pública del Estado de México y Municipios, al determinar que el recurso será sobreseído cuando se trate de una consulta o trámite en específico y cuando el recurrente amplíe su solicitud en el Recurso de Revisión, únicamente respecto de los nuevos contenidos.</w:t>
      </w:r>
    </w:p>
    <w:p w:rsidR="00F90417" w:rsidRDefault="00F90417" w:rsidP="00D62C09">
      <w:pPr>
        <w:spacing w:after="0" w:line="360" w:lineRule="auto"/>
        <w:jc w:val="both"/>
        <w:rPr>
          <w:rFonts w:ascii="Palatino Linotype" w:hAnsi="Palatino Linotype" w:cs="Tahoma"/>
        </w:rPr>
      </w:pPr>
    </w:p>
    <w:p w:rsidR="00F90417" w:rsidRDefault="00F90417" w:rsidP="00D62C09">
      <w:pPr>
        <w:spacing w:after="0" w:line="360" w:lineRule="auto"/>
        <w:jc w:val="both"/>
        <w:rPr>
          <w:rFonts w:ascii="Palatino Linotype" w:hAnsi="Palatino Linotype" w:cs="Tahoma"/>
        </w:rPr>
      </w:pPr>
      <w:r>
        <w:rPr>
          <w:rFonts w:ascii="Palatino Linotype" w:hAnsi="Palatino Linotype" w:cs="Tahoma"/>
        </w:rPr>
        <w:t xml:space="preserve">Lo anterior, toda vez que en la Resolución se determinó confirmar la respuesta del Sujeto Obligado, cuando, de manera adecuada el estudio de la Resolución se centra en acreditar que la solicitud constituye una consulta y que en el Recurso de Revisión se solicita información adicional y no así, a verificar si la respuesta del </w:t>
      </w:r>
      <w:r w:rsidR="00165D9E">
        <w:rPr>
          <w:rFonts w:ascii="Palatino Linotype" w:hAnsi="Palatino Linotype" w:cs="Tahoma"/>
        </w:rPr>
        <w:t>S</w:t>
      </w:r>
      <w:r>
        <w:rPr>
          <w:rFonts w:ascii="Palatino Linotype" w:hAnsi="Palatino Linotype" w:cs="Tahoma"/>
        </w:rPr>
        <w:t>ujeto Obligado colmó o no la solicitud.</w:t>
      </w:r>
    </w:p>
    <w:p w:rsidR="00165D9E" w:rsidRPr="004F7A10" w:rsidRDefault="00165D9E" w:rsidP="00D62C09">
      <w:pPr>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p w:rsidR="00CC10B4" w:rsidRPr="003424F7" w:rsidRDefault="00CC10B4" w:rsidP="00CC10B4">
      <w:pPr>
        <w:spacing w:after="0" w:line="360" w:lineRule="auto"/>
        <w:jc w:val="center"/>
        <w:rPr>
          <w:rFonts w:ascii="Palatino Linotype" w:hAnsi="Palatino Linotype" w:cs="Tahoma"/>
          <w:b/>
        </w:rPr>
      </w:pPr>
      <w:r w:rsidRPr="003424F7">
        <w:rPr>
          <w:rFonts w:ascii="Palatino Linotype" w:hAnsi="Palatino Linotype" w:cs="Tahoma"/>
          <w:b/>
        </w:rPr>
        <w:t>(Rúbrica)</w:t>
      </w:r>
    </w:p>
    <w:p w:rsidR="00CC10B4" w:rsidRPr="003424F7" w:rsidRDefault="00CC10B4" w:rsidP="00D62C09">
      <w:pPr>
        <w:spacing w:after="0" w:line="360" w:lineRule="auto"/>
        <w:jc w:val="center"/>
        <w:rPr>
          <w:rFonts w:ascii="Palatino Linotype" w:hAnsi="Palatino Linotype" w:cs="Tahoma"/>
        </w:rPr>
      </w:pPr>
    </w:p>
    <w:sectPr w:rsidR="00CC10B4" w:rsidRPr="003424F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FE" w:rsidRDefault="008B07FE" w:rsidP="00EE29F6">
      <w:pPr>
        <w:spacing w:after="0" w:line="240" w:lineRule="auto"/>
      </w:pPr>
      <w:r>
        <w:separator/>
      </w:r>
    </w:p>
  </w:endnote>
  <w:endnote w:type="continuationSeparator" w:id="0">
    <w:p w:rsidR="008B07FE" w:rsidRDefault="008B07F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65D9E">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65D9E">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FE" w:rsidRDefault="008B07FE" w:rsidP="00EE29F6">
      <w:pPr>
        <w:spacing w:after="0" w:line="240" w:lineRule="auto"/>
      </w:pPr>
      <w:r>
        <w:separator/>
      </w:r>
    </w:p>
  </w:footnote>
  <w:footnote w:type="continuationSeparator" w:id="0">
    <w:p w:rsidR="008B07FE" w:rsidRDefault="008B07F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CE1BE1">
          <w:pPr>
            <w:pStyle w:val="Encabezado"/>
            <w:ind w:left="-108" w:right="170"/>
            <w:jc w:val="both"/>
            <w:rPr>
              <w:rFonts w:ascii="Palatino Linotype" w:hAnsi="Palatino Linotype"/>
              <w:b/>
              <w:lang w:val="es-ES_tradnl"/>
            </w:rPr>
          </w:pPr>
          <w:r w:rsidRPr="00085241">
            <w:rPr>
              <w:rFonts w:ascii="Palatino Linotype" w:hAnsi="Palatino Linotype" w:cs="Tahoma"/>
              <w:b/>
            </w:rPr>
            <w:t>Recurso de Revisión:</w:t>
          </w:r>
          <w:r w:rsidR="007A3584">
            <w:rPr>
              <w:rFonts w:ascii="Palatino Linotype" w:hAnsi="Palatino Linotype" w:cs="Tahoma"/>
              <w:b/>
            </w:rPr>
            <w:t xml:space="preserve"> </w:t>
          </w:r>
          <w:r w:rsidR="007A3584" w:rsidRPr="007A3584">
            <w:rPr>
              <w:rFonts w:ascii="Palatino Linotype" w:hAnsi="Palatino Linotype" w:cs="Tahoma"/>
              <w:b/>
            </w:rPr>
            <w:t>04</w:t>
          </w:r>
          <w:r w:rsidR="00AB41C7">
            <w:rPr>
              <w:rFonts w:ascii="Palatino Linotype" w:hAnsi="Palatino Linotype" w:cs="Tahoma"/>
              <w:b/>
            </w:rPr>
            <w:t>423</w:t>
          </w:r>
          <w:r w:rsidR="007A3584" w:rsidRPr="007A3584">
            <w:rPr>
              <w:rFonts w:ascii="Palatino Linotype" w:hAnsi="Palatino Linotype" w:cs="Tahoma"/>
              <w:b/>
            </w:rPr>
            <w:t>/</w:t>
          </w:r>
          <w:r w:rsidR="007A3584">
            <w:rPr>
              <w:rFonts w:ascii="Palatino Linotype" w:hAnsi="Palatino Linotype" w:cs="Tahoma"/>
              <w:b/>
            </w:rPr>
            <w:t>INFOEM/IP/RR/2018</w:t>
          </w:r>
          <w:r w:rsidR="001A3973">
            <w:rPr>
              <w:rFonts w:ascii="Palatino Linotype" w:hAnsi="Palatino Linotype"/>
              <w:b/>
              <w:lang w:val="es-ES_tradnl"/>
            </w:rPr>
            <w:t>.</w:t>
          </w:r>
        </w:p>
        <w:p w:rsidR="00CE1BE1" w:rsidRDefault="00CE1BE1" w:rsidP="00CE1BE1">
          <w:pPr>
            <w:pStyle w:val="Encabezado"/>
            <w:ind w:left="-108" w:right="170"/>
            <w:jc w:val="both"/>
            <w:rPr>
              <w:rFonts w:ascii="Palatino Linotype" w:hAnsi="Palatino Linotype"/>
              <w:b/>
              <w:lang w:val="es-MX"/>
            </w:rPr>
          </w:pPr>
          <w:r>
            <w:rPr>
              <w:rFonts w:ascii="Palatino Linotype" w:hAnsi="Palatino Linotype" w:cs="Tahoma"/>
              <w:b/>
            </w:rPr>
            <w:t>Sujeto Obligado:</w:t>
          </w:r>
          <w:r w:rsidR="007A3584">
            <w:rPr>
              <w:rFonts w:ascii="Palatino Linotype" w:hAnsi="Palatino Linotype" w:cs="Tahoma"/>
              <w:b/>
            </w:rPr>
            <w:t xml:space="preserve"> </w:t>
          </w:r>
          <w:r w:rsidR="00B3544C">
            <w:rPr>
              <w:rFonts w:ascii="Palatino Linotype" w:hAnsi="Palatino Linotype" w:cs="Tahoma"/>
              <w:b/>
            </w:rPr>
            <w:t>Universidad Politécnica del Valle de Toluca</w:t>
          </w:r>
          <w:r>
            <w:rPr>
              <w:rFonts w:ascii="Palatino Linotype" w:hAnsi="Palatino Linotype"/>
              <w:b/>
              <w:lang w:val="es-MX"/>
            </w:rPr>
            <w:t>.</w:t>
          </w:r>
        </w:p>
        <w:p w:rsidR="00363357"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Comisionad</w:t>
          </w:r>
          <w:r w:rsidR="00B3544C">
            <w:rPr>
              <w:rFonts w:ascii="Palatino Linotype" w:hAnsi="Palatino Linotype" w:cs="Tahoma"/>
              <w:b/>
            </w:rPr>
            <w:t>o</w:t>
          </w:r>
          <w:r w:rsidRPr="00085241">
            <w:rPr>
              <w:rFonts w:ascii="Palatino Linotype" w:hAnsi="Palatino Linotype" w:cs="Tahoma"/>
              <w:b/>
            </w:rPr>
            <w:t xml:space="preserve"> Ponente: </w:t>
          </w:r>
          <w:r w:rsidR="00B3544C">
            <w:rPr>
              <w:rFonts w:ascii="Palatino Linotype" w:hAnsi="Palatino Linotype" w:cs="Tahoma"/>
              <w:b/>
            </w:rPr>
            <w:t>José Guadalupe Luna Hernández</w:t>
          </w:r>
          <w:r w:rsidR="00CE1BE1">
            <w:rPr>
              <w:rFonts w:ascii="Palatino Linotype" w:hAnsi="Palatino Linotype" w:cs="Tahoma"/>
              <w:b/>
            </w:rPr>
            <w:t xml:space="preserve">. </w:t>
          </w:r>
        </w:p>
        <w:p w:rsidR="0097366F" w:rsidRPr="001106EA" w:rsidRDefault="0097366F" w:rsidP="00CE1BE1">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108C"/>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104333"/>
    <w:rsid w:val="0010688C"/>
    <w:rsid w:val="001106EA"/>
    <w:rsid w:val="001159DC"/>
    <w:rsid w:val="0011653D"/>
    <w:rsid w:val="00116E1A"/>
    <w:rsid w:val="001336CC"/>
    <w:rsid w:val="001354AB"/>
    <w:rsid w:val="00136AD8"/>
    <w:rsid w:val="0014038B"/>
    <w:rsid w:val="00140A57"/>
    <w:rsid w:val="0014736A"/>
    <w:rsid w:val="00161815"/>
    <w:rsid w:val="00162325"/>
    <w:rsid w:val="00162F4A"/>
    <w:rsid w:val="00164625"/>
    <w:rsid w:val="00164BFE"/>
    <w:rsid w:val="00165D9E"/>
    <w:rsid w:val="0017349A"/>
    <w:rsid w:val="0018472D"/>
    <w:rsid w:val="00193AA8"/>
    <w:rsid w:val="00197A72"/>
    <w:rsid w:val="001A145C"/>
    <w:rsid w:val="001A3973"/>
    <w:rsid w:val="001A6BD9"/>
    <w:rsid w:val="001B5046"/>
    <w:rsid w:val="001C1C64"/>
    <w:rsid w:val="001C363A"/>
    <w:rsid w:val="0020052A"/>
    <w:rsid w:val="00231B68"/>
    <w:rsid w:val="00243A13"/>
    <w:rsid w:val="00246FAF"/>
    <w:rsid w:val="0025688F"/>
    <w:rsid w:val="00271A1E"/>
    <w:rsid w:val="00273B3C"/>
    <w:rsid w:val="0028037C"/>
    <w:rsid w:val="002816CB"/>
    <w:rsid w:val="00295BA5"/>
    <w:rsid w:val="002A138B"/>
    <w:rsid w:val="002A1727"/>
    <w:rsid w:val="002A2EE7"/>
    <w:rsid w:val="002B0E4A"/>
    <w:rsid w:val="002B2877"/>
    <w:rsid w:val="002C2405"/>
    <w:rsid w:val="002C456D"/>
    <w:rsid w:val="002C7EBD"/>
    <w:rsid w:val="002E4A9A"/>
    <w:rsid w:val="002E5A1A"/>
    <w:rsid w:val="003124B3"/>
    <w:rsid w:val="00333B7A"/>
    <w:rsid w:val="003424F7"/>
    <w:rsid w:val="00344DD1"/>
    <w:rsid w:val="003512C9"/>
    <w:rsid w:val="00363357"/>
    <w:rsid w:val="00390188"/>
    <w:rsid w:val="00390655"/>
    <w:rsid w:val="003973A2"/>
    <w:rsid w:val="003A6218"/>
    <w:rsid w:val="003B5F3A"/>
    <w:rsid w:val="003B6547"/>
    <w:rsid w:val="003B7A5E"/>
    <w:rsid w:val="003C6BE9"/>
    <w:rsid w:val="003D400A"/>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97C56"/>
    <w:rsid w:val="004A4555"/>
    <w:rsid w:val="004A555E"/>
    <w:rsid w:val="004B08C4"/>
    <w:rsid w:val="004B541F"/>
    <w:rsid w:val="004B674B"/>
    <w:rsid w:val="004C4912"/>
    <w:rsid w:val="004C6E57"/>
    <w:rsid w:val="004D34BA"/>
    <w:rsid w:val="004E2E30"/>
    <w:rsid w:val="004E40F0"/>
    <w:rsid w:val="004E4CA3"/>
    <w:rsid w:val="004E7007"/>
    <w:rsid w:val="004F0B86"/>
    <w:rsid w:val="004F7A10"/>
    <w:rsid w:val="00500998"/>
    <w:rsid w:val="00511E06"/>
    <w:rsid w:val="005139FC"/>
    <w:rsid w:val="0052260F"/>
    <w:rsid w:val="00524DA5"/>
    <w:rsid w:val="00524F01"/>
    <w:rsid w:val="00526DBD"/>
    <w:rsid w:val="00543DF4"/>
    <w:rsid w:val="00544812"/>
    <w:rsid w:val="00545B75"/>
    <w:rsid w:val="00550AA5"/>
    <w:rsid w:val="00550E19"/>
    <w:rsid w:val="00553ADE"/>
    <w:rsid w:val="0056120D"/>
    <w:rsid w:val="00582CCB"/>
    <w:rsid w:val="00584D73"/>
    <w:rsid w:val="00592A1B"/>
    <w:rsid w:val="0059329D"/>
    <w:rsid w:val="005A2510"/>
    <w:rsid w:val="005B0288"/>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A3584"/>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7FE"/>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0ED"/>
    <w:rsid w:val="009D425A"/>
    <w:rsid w:val="009D49BE"/>
    <w:rsid w:val="009E0861"/>
    <w:rsid w:val="009E41F7"/>
    <w:rsid w:val="00A0224B"/>
    <w:rsid w:val="00A13E40"/>
    <w:rsid w:val="00A14343"/>
    <w:rsid w:val="00A22273"/>
    <w:rsid w:val="00A30C52"/>
    <w:rsid w:val="00A310E9"/>
    <w:rsid w:val="00A364BA"/>
    <w:rsid w:val="00A462CB"/>
    <w:rsid w:val="00A5061A"/>
    <w:rsid w:val="00A50FCB"/>
    <w:rsid w:val="00A54163"/>
    <w:rsid w:val="00A54E21"/>
    <w:rsid w:val="00A67498"/>
    <w:rsid w:val="00A742D1"/>
    <w:rsid w:val="00A87924"/>
    <w:rsid w:val="00A96933"/>
    <w:rsid w:val="00A96CE5"/>
    <w:rsid w:val="00AA00D3"/>
    <w:rsid w:val="00AA090B"/>
    <w:rsid w:val="00AA261E"/>
    <w:rsid w:val="00AA38A5"/>
    <w:rsid w:val="00AB41C7"/>
    <w:rsid w:val="00AC1379"/>
    <w:rsid w:val="00AC333A"/>
    <w:rsid w:val="00AD25D5"/>
    <w:rsid w:val="00AD62AD"/>
    <w:rsid w:val="00AF3B6B"/>
    <w:rsid w:val="00B05E6F"/>
    <w:rsid w:val="00B06EC7"/>
    <w:rsid w:val="00B15570"/>
    <w:rsid w:val="00B2198B"/>
    <w:rsid w:val="00B2355E"/>
    <w:rsid w:val="00B263C5"/>
    <w:rsid w:val="00B27BBC"/>
    <w:rsid w:val="00B30925"/>
    <w:rsid w:val="00B3544C"/>
    <w:rsid w:val="00B372BE"/>
    <w:rsid w:val="00B44777"/>
    <w:rsid w:val="00B544EB"/>
    <w:rsid w:val="00B67355"/>
    <w:rsid w:val="00B71740"/>
    <w:rsid w:val="00B73847"/>
    <w:rsid w:val="00B7393F"/>
    <w:rsid w:val="00B761B1"/>
    <w:rsid w:val="00B80C28"/>
    <w:rsid w:val="00BB6EE3"/>
    <w:rsid w:val="00BC1C04"/>
    <w:rsid w:val="00BC4882"/>
    <w:rsid w:val="00BC55D2"/>
    <w:rsid w:val="00BD06FC"/>
    <w:rsid w:val="00BD4705"/>
    <w:rsid w:val="00BD5DBE"/>
    <w:rsid w:val="00BE678B"/>
    <w:rsid w:val="00BF1AC9"/>
    <w:rsid w:val="00BF3FAD"/>
    <w:rsid w:val="00C0033F"/>
    <w:rsid w:val="00C0131C"/>
    <w:rsid w:val="00C05CDF"/>
    <w:rsid w:val="00C153EC"/>
    <w:rsid w:val="00C269C5"/>
    <w:rsid w:val="00C30FD6"/>
    <w:rsid w:val="00C31FEE"/>
    <w:rsid w:val="00C41D86"/>
    <w:rsid w:val="00C54EF3"/>
    <w:rsid w:val="00C55FFC"/>
    <w:rsid w:val="00C56B73"/>
    <w:rsid w:val="00C75CE0"/>
    <w:rsid w:val="00C920D4"/>
    <w:rsid w:val="00CA7627"/>
    <w:rsid w:val="00CB6F8B"/>
    <w:rsid w:val="00CC10B4"/>
    <w:rsid w:val="00CC68E1"/>
    <w:rsid w:val="00CD14AC"/>
    <w:rsid w:val="00CD4339"/>
    <w:rsid w:val="00CD6D0D"/>
    <w:rsid w:val="00CD7611"/>
    <w:rsid w:val="00CE1BE1"/>
    <w:rsid w:val="00CE46B3"/>
    <w:rsid w:val="00CE50F9"/>
    <w:rsid w:val="00CF11EE"/>
    <w:rsid w:val="00CF1B14"/>
    <w:rsid w:val="00CF432B"/>
    <w:rsid w:val="00CF7899"/>
    <w:rsid w:val="00D0433F"/>
    <w:rsid w:val="00D05740"/>
    <w:rsid w:val="00D13875"/>
    <w:rsid w:val="00D15D07"/>
    <w:rsid w:val="00D160F2"/>
    <w:rsid w:val="00D31C36"/>
    <w:rsid w:val="00D342D7"/>
    <w:rsid w:val="00D357E1"/>
    <w:rsid w:val="00D37CDC"/>
    <w:rsid w:val="00D45BDF"/>
    <w:rsid w:val="00D51426"/>
    <w:rsid w:val="00D51C81"/>
    <w:rsid w:val="00D55306"/>
    <w:rsid w:val="00D55429"/>
    <w:rsid w:val="00D62C09"/>
    <w:rsid w:val="00D63D3F"/>
    <w:rsid w:val="00D6548F"/>
    <w:rsid w:val="00D65D0C"/>
    <w:rsid w:val="00D666D4"/>
    <w:rsid w:val="00D7239D"/>
    <w:rsid w:val="00D75FAE"/>
    <w:rsid w:val="00D76EA4"/>
    <w:rsid w:val="00D77F63"/>
    <w:rsid w:val="00D81CB3"/>
    <w:rsid w:val="00D9114A"/>
    <w:rsid w:val="00D932AD"/>
    <w:rsid w:val="00D94092"/>
    <w:rsid w:val="00DA11C0"/>
    <w:rsid w:val="00DE4452"/>
    <w:rsid w:val="00DF2784"/>
    <w:rsid w:val="00DF6CA0"/>
    <w:rsid w:val="00E145E1"/>
    <w:rsid w:val="00E22664"/>
    <w:rsid w:val="00E23BC6"/>
    <w:rsid w:val="00E26123"/>
    <w:rsid w:val="00E34559"/>
    <w:rsid w:val="00E41481"/>
    <w:rsid w:val="00E416F8"/>
    <w:rsid w:val="00E656C1"/>
    <w:rsid w:val="00E70B5D"/>
    <w:rsid w:val="00E750E2"/>
    <w:rsid w:val="00E80E84"/>
    <w:rsid w:val="00E82F77"/>
    <w:rsid w:val="00E83683"/>
    <w:rsid w:val="00E910F8"/>
    <w:rsid w:val="00EA61E1"/>
    <w:rsid w:val="00EA7E26"/>
    <w:rsid w:val="00EB7128"/>
    <w:rsid w:val="00ED6C50"/>
    <w:rsid w:val="00EE29F6"/>
    <w:rsid w:val="00EF7F0F"/>
    <w:rsid w:val="00F05A41"/>
    <w:rsid w:val="00F14384"/>
    <w:rsid w:val="00F401C1"/>
    <w:rsid w:val="00F44957"/>
    <w:rsid w:val="00F71364"/>
    <w:rsid w:val="00F71DED"/>
    <w:rsid w:val="00F72D12"/>
    <w:rsid w:val="00F90417"/>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1A88-63F4-4D98-AFDC-87B589CF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1198</Words>
  <Characters>6591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15</cp:revision>
  <cp:lastPrinted>2018-11-07T01:19:00Z</cp:lastPrinted>
  <dcterms:created xsi:type="dcterms:W3CDTF">2019-02-18T16:14:00Z</dcterms:created>
  <dcterms:modified xsi:type="dcterms:W3CDTF">2019-02-18T19:39:00Z</dcterms:modified>
</cp:coreProperties>
</file>